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A2" w:rsidRDefault="00261AA2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57875" w:rsidRDefault="00C30386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F3B7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4F3B79">
        <w:rPr>
          <w:rFonts w:ascii="Times New Roman" w:hAnsi="Times New Roman"/>
          <w:b/>
          <w:sz w:val="28"/>
          <w:szCs w:val="28"/>
        </w:rPr>
        <w:t>14</w:t>
      </w:r>
      <w:r w:rsidR="00261AA2" w:rsidRPr="00261AA2">
        <w:rPr>
          <w:rFonts w:ascii="Times New Roman" w:hAnsi="Times New Roman"/>
          <w:b/>
          <w:sz w:val="28"/>
          <w:szCs w:val="28"/>
        </w:rPr>
        <w:t>.09.2023 г.</w:t>
      </w:r>
    </w:p>
    <w:p w:rsidR="00261AA2" w:rsidRPr="00261AA2" w:rsidRDefault="00261AA2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61AA2" w:rsidRDefault="00C30386" w:rsidP="00261A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F3B7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.09.2023 г. от 17.</w:t>
      </w:r>
      <w:r w:rsidR="004F3B79">
        <w:rPr>
          <w:rFonts w:ascii="Times New Roman" w:hAnsi="Times New Roman" w:cs="Times New Roman"/>
          <w:sz w:val="24"/>
          <w:szCs w:val="24"/>
        </w:rPr>
        <w:t>30</w:t>
      </w:r>
      <w:r w:rsidR="00261AA2">
        <w:rPr>
          <w:rFonts w:ascii="Times New Roman" w:hAnsi="Times New Roman" w:cs="Times New Roman"/>
          <w:sz w:val="24"/>
          <w:szCs w:val="24"/>
        </w:rPr>
        <w:t xml:space="preserve"> ч., в Заседателната зала на община Медковец се проведе заседание на Общинска избирателна комисия – Медковец за изборите за общински съветници и за кметове на 29 октомври 2023 г.</w:t>
      </w:r>
    </w:p>
    <w:p w:rsidR="00261AA2" w:rsidRDefault="00261AA2" w:rsidP="0026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  <w:r w:rsidR="00ED3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Полин Николаева Гълъбова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Заместник-председател: </w:t>
      </w:r>
      <w:r w:rsidR="002D3780" w:rsidRPr="006A0996">
        <w:rPr>
          <w:rFonts w:ascii="Times New Roman" w:hAnsi="Times New Roman" w:cs="Times New Roman"/>
          <w:sz w:val="24"/>
          <w:szCs w:val="24"/>
        </w:rPr>
        <w:t>Емилия Петрова Цветанова</w:t>
      </w:r>
    </w:p>
    <w:p w:rsidR="002D3780" w:rsidRPr="006A0996" w:rsidRDefault="002D3780" w:rsidP="002D378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Ваня Красимирова Генадиева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Петя Кръстева Петрова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Pr="006A0996" w:rsidRDefault="00261AA2" w:rsidP="00261AA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Членове: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Христова Станкова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Любомир Иванов Евстатиев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Илиева Кирилова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Горан Ганчев Лозанов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Цветелина Людмилова Славчева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P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    На заседанието отсъстват:</w:t>
      </w:r>
    </w:p>
    <w:p w:rsidR="006A0996" w:rsidRPr="006A0996" w:rsidRDefault="006A0996" w:rsidP="006A099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Зилия Кольова Данчова</w:t>
      </w:r>
    </w:p>
    <w:p w:rsidR="006A0996" w:rsidRDefault="005104B3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Член: </w:t>
      </w:r>
      <w:r w:rsidR="006A0996" w:rsidRPr="006A0996">
        <w:rPr>
          <w:rFonts w:ascii="Times New Roman" w:hAnsi="Times New Roman" w:cs="Times New Roman"/>
          <w:sz w:val="24"/>
          <w:szCs w:val="24"/>
        </w:rPr>
        <w:t>Николай Димитров Луканов.</w:t>
      </w:r>
    </w:p>
    <w:p w:rsid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8C">
        <w:rPr>
          <w:rFonts w:ascii="Times New Roman" w:hAnsi="Times New Roman" w:cs="Times New Roman"/>
          <w:sz w:val="24"/>
          <w:szCs w:val="24"/>
        </w:rPr>
        <w:t>Председателят</w:t>
      </w:r>
      <w:r>
        <w:rPr>
          <w:rFonts w:ascii="Times New Roman" w:hAnsi="Times New Roman" w:cs="Times New Roman"/>
          <w:sz w:val="24"/>
          <w:szCs w:val="24"/>
        </w:rPr>
        <w:t xml:space="preserve"> предложи на комисията следния</w:t>
      </w:r>
      <w:r w:rsidR="00ED3F8C">
        <w:rPr>
          <w:rFonts w:ascii="Times New Roman" w:hAnsi="Times New Roman" w:cs="Times New Roman"/>
          <w:sz w:val="24"/>
          <w:szCs w:val="24"/>
        </w:rPr>
        <w:t xml:space="preserve"> проект на</w:t>
      </w:r>
    </w:p>
    <w:p w:rsidR="00E56F8F" w:rsidRDefault="00E56F8F" w:rsidP="00ED3F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6F8F" w:rsidRDefault="00E56F8F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72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ED3F8C" w:rsidRDefault="00ED3F8C" w:rsidP="005135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B79" w:rsidRPr="00FC0625" w:rsidRDefault="004F3B79" w:rsidP="004F3B79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 w:rsidRPr="00155853">
        <w:rPr>
          <w:bCs/>
          <w:lang w:val="en-US" w:eastAsia="en-US"/>
        </w:rPr>
        <w:t xml:space="preserve">Формиране и утвърждаване номерата на избирателните секции в община </w:t>
      </w:r>
      <w:r w:rsidRPr="00155853">
        <w:rPr>
          <w:bCs/>
          <w:lang w:eastAsia="en-US"/>
        </w:rPr>
        <w:t>Медковец</w:t>
      </w:r>
      <w:r w:rsidRPr="00155853">
        <w:rPr>
          <w:bCs/>
          <w:lang w:val="en-US" w:eastAsia="en-US"/>
        </w:rPr>
        <w:t xml:space="preserve"> при произвеждане на избори за общински съветници и за кметове на 29 октомври 2023г</w:t>
      </w:r>
      <w:r>
        <w:rPr>
          <w:bCs/>
          <w:lang w:val="en-US" w:eastAsia="en-US"/>
        </w:rPr>
        <w:t>.</w:t>
      </w:r>
    </w:p>
    <w:p w:rsidR="004F3B79" w:rsidRDefault="004F3B79" w:rsidP="004F3B79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val="en-US" w:eastAsia="en-US"/>
        </w:rPr>
      </w:pPr>
      <w:r w:rsidRPr="002A2CA4">
        <w:rPr>
          <w:bCs/>
          <w:lang w:val="en-US" w:eastAsia="en-US"/>
        </w:rPr>
        <w:t>Регистрация на кандидатите в Общинска избирателна комисия в община Медковец, област Монтана за участие в изборите за общински съветници и за кметове на 29 октомври 2023г.</w:t>
      </w:r>
    </w:p>
    <w:p w:rsidR="004F3B79" w:rsidRPr="003A48DE" w:rsidRDefault="004F3B79" w:rsidP="004F3B79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val="en-US" w:eastAsia="en-US"/>
        </w:rPr>
      </w:pPr>
      <w: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320A66" w:rsidRDefault="004F3B79" w:rsidP="00320A66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 w:rsidRPr="00DF5F5A">
        <w:rPr>
          <w:bCs/>
          <w:lang w:eastAsia="en-US"/>
        </w:rPr>
        <w:t xml:space="preserve">Определяне </w:t>
      </w:r>
      <w:r>
        <w:rPr>
          <w:bCs/>
          <w:lang w:eastAsia="en-US"/>
        </w:rPr>
        <w:t xml:space="preserve">общия брой на членовете на СИК </w:t>
      </w:r>
      <w:r w:rsidRPr="00DF5F5A">
        <w:rPr>
          <w:bCs/>
          <w:lang w:eastAsia="en-US"/>
        </w:rPr>
        <w:t xml:space="preserve">по </w:t>
      </w:r>
      <w:r w:rsidRPr="007D57C4">
        <w:rPr>
          <w:bCs/>
        </w:rPr>
        <w:t>чл. 9, ал. 4 и 9 от ИК</w:t>
      </w:r>
      <w:r w:rsidRPr="006879DB">
        <w:rPr>
          <w:b/>
          <w:bCs/>
        </w:rPr>
        <w:t xml:space="preserve"> </w:t>
      </w:r>
      <w:r w:rsidRPr="00DF5F5A">
        <w:rPr>
          <w:bCs/>
          <w:lang w:eastAsia="en-US"/>
        </w:rPr>
        <w:t xml:space="preserve">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за кметове</w:t>
      </w:r>
      <w:r>
        <w:rPr>
          <w:bCs/>
          <w:lang w:eastAsia="en-US"/>
        </w:rPr>
        <w:t>, насрочени на 29 октомври 2023</w:t>
      </w:r>
      <w:r w:rsidRPr="00DF5F5A">
        <w:rPr>
          <w:bCs/>
          <w:lang w:eastAsia="en-US"/>
        </w:rPr>
        <w:t>г.</w:t>
      </w:r>
    </w:p>
    <w:p w:rsidR="004F3B79" w:rsidRPr="00320A66" w:rsidRDefault="004F3B79" w:rsidP="00320A66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 w:rsidRPr="00320A66">
        <w:rPr>
          <w:bCs/>
          <w:lang w:eastAsia="en-US"/>
        </w:rPr>
        <w:lastRenderedPageBreak/>
        <w:t>Разпределение на местата в СИК и техните ръководства в община Медковец при произвеждане на изборите за общински съветници и кметове на 29 октомври 2023 г.</w:t>
      </w:r>
    </w:p>
    <w:p w:rsidR="00FA0355" w:rsidRPr="004F3B79" w:rsidRDefault="004F3B79" w:rsidP="004F3B79">
      <w:pPr>
        <w:pStyle w:val="a4"/>
        <w:numPr>
          <w:ilvl w:val="0"/>
          <w:numId w:val="2"/>
        </w:numPr>
        <w:suppressAutoHyphens w:val="0"/>
        <w:autoSpaceDN/>
        <w:spacing w:beforeAutospacing="1" w:afterAutospacing="1"/>
        <w:jc w:val="both"/>
        <w:textAlignment w:val="auto"/>
        <w:rPr>
          <w:bCs/>
          <w:lang w:val="en-US" w:eastAsia="en-US"/>
        </w:rPr>
      </w:pPr>
      <w:r>
        <w:t>Разискване на нововъзникнали въпроси и обстоятелства и приемане на други решения, в случай на обективни предпоставки за което</w:t>
      </w:r>
      <w:r>
        <w:rPr>
          <w:lang w:val="en-US"/>
        </w:rPr>
        <w:t>.</w:t>
      </w:r>
    </w:p>
    <w:p w:rsidR="00ED3F8C" w:rsidRDefault="00ED3F8C" w:rsidP="00ED3F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3F8C" w:rsidRDefault="00ED3F8C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Дневният ред беше приет единодушно от комисията. 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7875" w:rsidRDefault="00261AA2" w:rsidP="00261AA2">
      <w:pPr>
        <w:pStyle w:val="Standard"/>
        <w:tabs>
          <w:tab w:val="center" w:pos="4536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 w:rsidRPr="00B216F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</w:t>
      </w:r>
      <w:r w:rsidR="00AB030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3B79" w:rsidRPr="00FC0625" w:rsidRDefault="004F3B79" w:rsidP="004F3B79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 w:rsidRPr="00155853">
        <w:rPr>
          <w:bCs/>
          <w:lang w:val="en-US" w:eastAsia="en-US"/>
        </w:rPr>
        <w:t xml:space="preserve">Формиране и утвърждаване номерата на избирателните секции в община </w:t>
      </w:r>
      <w:r w:rsidRPr="00155853">
        <w:rPr>
          <w:bCs/>
          <w:lang w:eastAsia="en-US"/>
        </w:rPr>
        <w:t>Медковец</w:t>
      </w:r>
      <w:r w:rsidRPr="00155853">
        <w:rPr>
          <w:bCs/>
          <w:lang w:val="en-US" w:eastAsia="en-US"/>
        </w:rPr>
        <w:t xml:space="preserve"> при произвеждане на избори за общински съветници и за кметове на 29 октомври 2023г</w:t>
      </w:r>
      <w:r>
        <w:rPr>
          <w:bCs/>
          <w:lang w:val="en-US" w:eastAsia="en-US"/>
        </w:rPr>
        <w:t>.</w:t>
      </w:r>
    </w:p>
    <w:p w:rsidR="00353AA4" w:rsidRPr="00FA0355" w:rsidRDefault="00187A50" w:rsidP="00FA035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03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187A50" w:rsidRDefault="00187A50" w:rsidP="00187A50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гласуване на предложението.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187A50" w:rsidRDefault="00187A50" w:rsidP="00187A5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187A50" w:rsidTr="007E1DEF">
        <w:trPr>
          <w:trHeight w:val="286"/>
          <w:jc w:val="center"/>
        </w:trPr>
        <w:tc>
          <w:tcPr>
            <w:tcW w:w="530" w:type="dxa"/>
          </w:tcPr>
          <w:p w:rsidR="00187A50" w:rsidRPr="00A02C87" w:rsidRDefault="00187A50" w:rsidP="00930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187A50" w:rsidRPr="00A02C87" w:rsidRDefault="00187A50" w:rsidP="00F903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AC5D3C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AC5D3C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55" w:rsidTr="007E1DEF">
        <w:trPr>
          <w:jc w:val="center"/>
        </w:trPr>
        <w:tc>
          <w:tcPr>
            <w:tcW w:w="530" w:type="dxa"/>
          </w:tcPr>
          <w:p w:rsidR="00FA0355" w:rsidRPr="00FA0355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FA0355" w:rsidRP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FA0355" w:rsidRDefault="00FA0355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AC5D3C" w:rsidRDefault="00AC5D3C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FA0355" w:rsidRPr="00FA0355">
        <w:rPr>
          <w:rFonts w:ascii="Times New Roman" w:hAnsi="Times New Roman" w:cs="Times New Roman"/>
          <w:sz w:val="24"/>
          <w:szCs w:val="24"/>
        </w:rPr>
        <w:t>9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187A50" w:rsidRPr="00A02C87" w:rsidRDefault="00187A50" w:rsidP="00187A50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187A50" w:rsidRDefault="00187A50" w:rsidP="00187A50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4F3B79" w:rsidRDefault="004F3B79" w:rsidP="004F3B79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21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14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4F3B79" w:rsidRPr="00AB0E88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2320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Формиране и утвърждаване номерата на избирателните секции в община </w:t>
      </w:r>
      <w:r w:rsidRPr="00232087">
        <w:rPr>
          <w:rFonts w:ascii="Times New Roman" w:eastAsia="Times New Roman" w:hAnsi="Times New Roman" w:cs="Times New Roman"/>
          <w:b/>
          <w:bCs/>
          <w:sz w:val="24"/>
          <w:szCs w:val="24"/>
        </w:rPr>
        <w:t>Медковец</w:t>
      </w:r>
      <w:r w:rsidRPr="002320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при произвеждане на избори за общински съветници и за кметове на 29 октомври 2023г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4F3B79" w:rsidRPr="0023208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Pr="00B470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87, ал. 1, т. 3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1969-МИ от 08.08.2023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 и Заповед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79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126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04.09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.2023г.</w:t>
      </w:r>
      <w:r w:rsidRPr="0051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Общинска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избирателна комисия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Медковец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</w:p>
    <w:p w:rsidR="004F3B79" w:rsidRPr="003D18AD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4F3B79" w:rsidRPr="00741B53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И:</w:t>
      </w:r>
    </w:p>
    <w:p w:rsidR="004F3B79" w:rsidRPr="009E1D23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Pr="0097000D" w:rsidRDefault="004F3B79" w:rsidP="004F3B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>Единният номер на всяка избирателна секция се състои от девет цифри,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рупирани във вида: АА ВВ СС ХХХ,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където АА е номера на областта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- 12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>; ВВ е номерът на общината по Единния класификатор на административно-териториалните и териториалните единици (ЕКАТТЕ)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- 26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>; СС е номера на района в градовете с районно де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 ХХХ е номера на секцията.</w:t>
      </w:r>
    </w:p>
    <w:p w:rsidR="004F3B79" w:rsidRPr="0097000D" w:rsidRDefault="004F3B79" w:rsidP="004F3B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 единната номерация за всяка избирателна секция за произвеждане на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кметове на 29 октомври 2023г.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Медковец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както следва в приложената към решението Заповед 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126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79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</w:t>
      </w:r>
      <w:r w:rsidRPr="00232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кмета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Медковец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3B79" w:rsidRPr="0097000D" w:rsidRDefault="004F3B79" w:rsidP="004F3B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Медковец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номерац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ията на секциите започва от </w:t>
      </w:r>
      <w:r w:rsidRPr="00B47003">
        <w:rPr>
          <w:rFonts w:ascii="Times New Roman" w:eastAsia="Times New Roman" w:hAnsi="Times New Roman" w:cs="Times New Roman"/>
          <w:sz w:val="24"/>
          <w:szCs w:val="24"/>
          <w:lang w:val="en-US"/>
        </w:rPr>
        <w:t>122600001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е </w:t>
      </w:r>
      <w:r w:rsidRPr="009700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до </w:t>
      </w:r>
      <w:r w:rsidRPr="00B47003">
        <w:rPr>
          <w:rFonts w:ascii="Times New Roman" w:eastAsia="Times New Roman" w:hAnsi="Times New Roman" w:cs="Times New Roman"/>
          <w:sz w:val="24"/>
          <w:szCs w:val="24"/>
          <w:lang w:val="en-US"/>
        </w:rPr>
        <w:t>12260000</w:t>
      </w:r>
      <w:r w:rsidRPr="005029A5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3B79" w:rsidRDefault="004F3B79" w:rsidP="004F3B79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B79" w:rsidRPr="007771EA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E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на ОИК за определяне на номерата на изборните райони да се публикува на страницата на ОИК,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както и</w:t>
      </w:r>
      <w:r w:rsidRPr="007771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определеното с решение на ОИК общодостъпно място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F3B79" w:rsidRPr="007771EA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F3B79" w:rsidRPr="00E17711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4F3B79" w:rsidRPr="00AC7D63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en-US"/>
        </w:rPr>
      </w:pPr>
    </w:p>
    <w:p w:rsidR="004F3B79" w:rsidRPr="007771EA" w:rsidRDefault="004F3B79" w:rsidP="004F3B79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30"/>
          <w:szCs w:val="30"/>
        </w:rPr>
      </w:pPr>
    </w:p>
    <w:p w:rsidR="00AB0301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771EA">
        <w:rPr>
          <w:rFonts w:ascii="Times New Roman" w:hAnsi="Times New Roman" w:cs="Times New Roman"/>
        </w:rPr>
        <w:t xml:space="preserve">Приложение: Заповед на кмета на община Медковец № </w:t>
      </w:r>
      <w:r>
        <w:rPr>
          <w:rFonts w:ascii="Times New Roman" w:hAnsi="Times New Roman" w:cs="Times New Roman"/>
        </w:rPr>
        <w:t>126</w:t>
      </w:r>
      <w:r w:rsidRPr="007771EA">
        <w:rPr>
          <w:rFonts w:ascii="Times New Roman" w:hAnsi="Times New Roman" w:cs="Times New Roman"/>
        </w:rPr>
        <w:t xml:space="preserve"> от </w:t>
      </w:r>
      <w:r w:rsidRPr="005029A5">
        <w:rPr>
          <w:rFonts w:ascii="Times New Roman" w:hAnsi="Times New Roman" w:cs="Times New Roman"/>
        </w:rPr>
        <w:t>04.09.</w:t>
      </w:r>
      <w:r w:rsidRPr="007771EA">
        <w:rPr>
          <w:rFonts w:ascii="Times New Roman" w:hAnsi="Times New Roman" w:cs="Times New Roman"/>
        </w:rPr>
        <w:t>2023г.</w:t>
      </w:r>
    </w:p>
    <w:p w:rsidR="00AB0301" w:rsidRDefault="00AB0301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F3B79" w:rsidRDefault="004F3B79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AB0301" w:rsidRPr="008317DC" w:rsidRDefault="00AB0301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По точка</w:t>
      </w:r>
      <w:r w:rsidR="00864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 xml:space="preserve"> </w:t>
      </w:r>
      <w:r w:rsidR="008642E8"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втора</w:t>
      </w: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:</w:t>
      </w:r>
    </w:p>
    <w:p w:rsidR="00E85072" w:rsidRDefault="00E85072" w:rsidP="00E85072">
      <w:pPr>
        <w:pStyle w:val="a4"/>
        <w:suppressAutoHyphens w:val="0"/>
        <w:autoSpaceDN/>
        <w:spacing w:before="0" w:after="160" w:line="256" w:lineRule="auto"/>
        <w:ind w:left="660"/>
        <w:jc w:val="both"/>
        <w:textAlignment w:val="auto"/>
        <w:rPr>
          <w:bCs/>
        </w:rPr>
      </w:pPr>
    </w:p>
    <w:p w:rsidR="004F3B79" w:rsidRDefault="004F3B79" w:rsidP="004F3B79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bCs/>
          <w:lang w:val="en-US" w:eastAsia="en-US"/>
        </w:rPr>
      </w:pPr>
      <w:r w:rsidRPr="002A2CA4">
        <w:rPr>
          <w:bCs/>
          <w:lang w:val="en-US" w:eastAsia="en-US"/>
        </w:rPr>
        <w:t>Регистрация на кандидатите в Общинска избирателна комисия в община Медковец, област Монтана за участие в изборите за общински съветници и за кметове на 29 октомври 2023г.</w:t>
      </w:r>
    </w:p>
    <w:p w:rsidR="00AB0301" w:rsidRDefault="00AB0301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AB0301" w:rsidRDefault="00AB0301" w:rsidP="00AB030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гласуване на предложението.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9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10"/>
        <w:gridCol w:w="1399"/>
      </w:tblGrid>
      <w:tr w:rsidR="00E97A19" w:rsidRPr="00E97A19" w:rsidTr="007F1CC5">
        <w:trPr>
          <w:trHeight w:val="286"/>
          <w:jc w:val="center"/>
        </w:trPr>
        <w:tc>
          <w:tcPr>
            <w:tcW w:w="530" w:type="dxa"/>
          </w:tcPr>
          <w:p w:rsidR="00E97A19" w:rsidRPr="00E97A19" w:rsidRDefault="00E97A19" w:rsidP="00E97A1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E97A19" w:rsidRPr="00E97A19" w:rsidRDefault="00E97A19" w:rsidP="00E97A1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E97A19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E97A1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301" w:rsidRDefault="00AB0301" w:rsidP="00AB030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B0301" w:rsidRDefault="00AB0301" w:rsidP="00AB030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E97A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AB0301" w:rsidRDefault="00AB0301" w:rsidP="00AB030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AB0301" w:rsidRPr="00A02C87" w:rsidRDefault="00AB0301" w:rsidP="00AB030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AB0301" w:rsidRDefault="00AB0301" w:rsidP="00AB030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97A19" w:rsidRPr="00A02C87" w:rsidRDefault="00E97A19" w:rsidP="00AB030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F3B79" w:rsidRDefault="004F3B79" w:rsidP="004F3B79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22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14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4F3B79" w:rsidRPr="00AB0E88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AB0E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кандидатите в Общинска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избирателна комисия в община Медковец</w:t>
      </w:r>
      <w:r w:rsidRPr="00AB0E88">
        <w:rPr>
          <w:rFonts w:ascii="Times New Roman" w:eastAsia="Times New Roman" w:hAnsi="Times New Roman" w:cs="Times New Roman"/>
          <w:b/>
          <w:bCs/>
          <w:sz w:val="24"/>
          <w:szCs w:val="24"/>
        </w:rPr>
        <w:t>, област Монтана за участие в изборите за общински съветници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кметове на 29 октомври 2023</w:t>
      </w:r>
      <w:r w:rsidRPr="00AB0E88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4F3B79" w:rsidRPr="0023208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F3B79" w:rsidRPr="00EC55C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C55C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14-16, чл. 156-161, чл. 397, чл. 412-419 и § 1, т. 5 от ДР на ИК, Решение на ЦИК № 1955-МИ от 03.08.2023г. на Централна избирателна комисия и във връзка с чл. 39, ал. 4, чл. 42, ал. 8 във връзка с ал. 6, изречение второ и трето и ал. 10 от Закона за местното самоуправление и местната администрация и Решение № 2122-МИ от 29.08.2023г. на Централна избирателна комисия,</w:t>
      </w:r>
      <w:r w:rsidRPr="00EC55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 Общинска избирателна комисия Медковец,</w:t>
      </w:r>
    </w:p>
    <w:p w:rsidR="004F3B79" w:rsidRPr="003D18AD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4F3B79" w:rsidRPr="00741B53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F3B79" w:rsidRPr="00683CC0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И:</w:t>
      </w: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Pr="009F3C37" w:rsidRDefault="004F3B79" w:rsidP="004F3B79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firstLine="354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Право да бъдат избирани</w:t>
      </w:r>
    </w:p>
    <w:p w:rsidR="004F3B79" w:rsidRPr="009F3C37" w:rsidRDefault="004F3B79" w:rsidP="004F3B79">
      <w:pPr>
        <w:pStyle w:val="a7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86C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Pr="00486C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Право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bg-BG"/>
        </w:rPr>
        <w:t>да бъдат избирани за общински съветници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през последните 6 месеца (към дата 2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април 20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г. включително)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общински съветници, кмет на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за кметове на кметства – в съответното населено място.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Право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да бъде избиран за общински съветник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има и всеки гражданин на държава – членка на Европейския съюз, който не е български гражданин, навършил е 18 години към изборния ден включително, не е поставен под запрещение, не изтърпява наказание лишаване от свобода, има статут на продължително или постоянно пребиваващ в Република България, живял е през последните 6 месеца в 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Медковец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(към дата 28 април 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 включително) и не е лишен от правото да бъде избиран в държавата членка, на която е гражданин.</w:t>
      </w:r>
    </w:p>
    <w:p w:rsidR="004F3B79" w:rsidRPr="0056088A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ІІ.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Издигане на кандидати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Кандидати могат да издигат партии, коалиции, местни коалиции и инициативни комитети, регистрирани за участие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изборите на 29 октомври 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 в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Партиите, коалициите и местните коалиции не могат да регистрират като кандидати военнослужещи от въоръжените сили, служители в дипломатическата служба, слу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жители от МВР, Държавна агенция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Разузнаване“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Националната служба за охрана и Държавната агенция „Технически операции“, както и държавни служители от Държавна агенция „Национална сигурност“, съдии, прокурори и следователи, както и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други лица, на които със закон е забранено членство в политическа партия. Тези граждани може да участват в изборите като независими кандидати.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ІІІ.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Кандидатски листи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Партиите, коалициите и местните коалиции подреждат кандидатите в кандидатски листи по едномандатни и многомандатни изборни райони.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Кандидатите за общински съветници на партии и коалиции се вписват в регистъра на кандидатските листи и се регистрират с номера, под които са подредени в кандидатската листа. 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6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Коалициите участват в изборите с обща кандидатска листа във всеки отделен едномандатен и многомандатен изборен район.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7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Партиите и коалициите, които участват в състава на местни коалиции за определен вид избор, не могат да регистрират самостоятелно свои кандидатски листи или кандидати за същия вид избор.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Броят на кандидатите в една кандидатска листа за общински съветниц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партии, коалиции или местни коалиции не може да надхвърля броя на членовете на общинския съвет.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9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Инициативните комитети издигат независими кандидати за общински съветници и за кметове, като всеки кандидат за общински съветник или кмет образува самостоятелна кандидатска листа.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10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Независим кандидат не може да бъде включван в кандидатска листа на партия или коалиция.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ІV.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Действителност на регистрацията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 за общински съветник може да бъде предложен за регистриране само от една партия, коалиция или инициативен комитет и само в един изборен район.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 за кмет може да бъде предложен за регистриране само от една партия, коалиция или инициативен комитет и само в един изборен район. Кандидат за кмет на община не може да бъде и кандидат за кмет на кметство.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 за кмет от инициативен комитет не може да бъде кандидат за общински съветник от партия или коалиция, а кандидат за общински съветник от инициативен комитет не може да бъде кандидат за кмет от партия или коалиция.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 за кмет от партия или коалиция може да бъде и кандидат за общински съветник само от същата партия или коалиция. В случай че бъде избран за кмет, той отпада от кандидатската листа за общински съветници.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CC2E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Когато кандидат за общински съветник или кмет бъде регистриран от повече от една партия, коалиция или инициативен комитет или в повече от един изборен район, действителна е първата по време регистрация.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6.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Кандидатът не може да бъде наблюдател, застъпник, представител на партия/коалиция/ местна коалиция/инициативен комитет, член на избирателна комисия, анкетьор или придружител 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7.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Централната избирателна комисия констатира и обявява за недействителни регистрациите, извършени в нарушение на т. 11, 12, 13 и 14. Решението се обявява незабавно и може да се обжалва пред Върховния административен съд по реда на чл. 58 ИК.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V.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Документи и срок за регистрация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27E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Регистрирането на кандидатските листи се извършва от общинската избирателна комисия след представяне на: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222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.1.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предложение от партията/коалицията/местната коалиция с имената, единния граждански номер и постоянния адрес – настоящ адрес/ адрес на пребиваване на кандидатите (Приложение № 51-МИ и Приложение № 52-МИ от изборните книжа); предложението се подписва от лицата, представляващи партията или коалицията, или от изрично упълномощени от тях лица.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Предложението се представя в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хартиен и на технически носител в ексел формат. За всеки отделен вид избор – общински съветници, кмет на община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 се подава отделно предложение. За изборите за кметове на кметства се подава едно общо предложение, като се вписват кметствата;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222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предложение от инициативния комитет с имената, единния граждански номер и постоянния адрес – настоящ адрес или адрес на пребиваване на кандидата (Приложение № 53-МИ от изборните книжа); предложението се подписва от лицето, представляващо инициативния комитет;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222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 2, 3 и 4 ИК (Приложение № 54-МИ от изборните книжа);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222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андидатът за общински съветник - гражданин на друга държава-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членка на Европейския съюз, който не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български гражданин, представя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декларация по образец (Приложение № 55-МИ от изборните книжа), в която декларира: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а) гражданство и адрес на пребиваване в съответното населено място;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б) че не е поставен под запрещение;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в) данните от личната карта или паспорта и личен номер;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Кандидатът представя удостоверение от компетентните органи на държавата – членка на ЕС, на която е гражданин, че не е лишен от правото да бъде избиран и че на тези органи не им е известно да съществува такова лишаване от права. В случай че кандидатът не може да представи удостоверението, декларира, че не е лишен от право да бъде избиран в държавата членка, на която е гражданин.</w:t>
      </w:r>
    </w:p>
    <w:p w:rsidR="004F3B79" w:rsidRPr="000F215C" w:rsidRDefault="004F3B79" w:rsidP="004F3B79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F2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пълномощно на лицата, упълномощени да представляват партията/коалицията/местната коалиция пред общинска избирателна комисия</w:t>
      </w:r>
      <w:r w:rsidRPr="000F21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Медковец</w:t>
      </w:r>
      <w:r w:rsidRPr="000F2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в случаите когато документите се подписват и/или подават от упълномощени лица.</w:t>
      </w:r>
    </w:p>
    <w:p w:rsidR="004F3B79" w:rsidRPr="000F215C" w:rsidRDefault="004F3B79" w:rsidP="004F3B79">
      <w:pPr>
        <w:pStyle w:val="a7"/>
        <w:shd w:val="clear" w:color="auto" w:fill="FFFFFF"/>
        <w:spacing w:after="0" w:line="240" w:lineRule="auto"/>
        <w:ind w:left="1129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19</w:t>
      </w:r>
      <w:r w:rsidRPr="00C76E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проверява и отбелязва данните от личната карта или личния паспорт за страната на кандидата, единния граждански номер (личния номер), постоянния и настоящия адрес (адрес на пребиваване) и датата на адресната регистрация.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20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Регистрирането на кандидатските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листи в </w:t>
      </w:r>
      <w:r w:rsidRPr="004D16F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ОИК 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се извършва от 19</w:t>
      </w:r>
      <w:r w:rsidRPr="00C960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септември до 26 септември 2023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г.</w:t>
      </w:r>
      <w:r w:rsidRPr="00C960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включително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(не по-късно от 32 дни преди изборния ден).  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VІ.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Списък на избирателите, подкрепящи регистрацията на независим кандидат   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Право да посочват и регистрират независим кандидат за общински съветник или кмет имат: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1.1.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за общински съветник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общини с население: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en-US"/>
        </w:rPr>
      </w:pPr>
      <w:r w:rsidRPr="00C76E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а) до 10 000 жители – най-малко 100 избиратели от общината;     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1.2.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за кмет на община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население:</w:t>
      </w:r>
    </w:p>
    <w:p w:rsidR="004F3B79" w:rsidRPr="00C76E21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76E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а) до 10 000 жители – най-малко 200 избиратели от общината;     </w:t>
      </w:r>
    </w:p>
    <w:p w:rsidR="004F3B79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1.3.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за кмет на кметство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една пета от избирателите на кметството, но не повече от 500;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Избирател,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 (Приложение № 56-МИ от изборните книжа). Избирателите български граждани посочват имената, постоянния си адрес в общината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съответно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адреса на пребиваване в съответната община, кметство или район. Всеки избирател може да участва само в един списък. При полагане на подписа си в списъка избирателят удостоверява своята самоличност. Списъкът се предава и в структуриран електронен вид, като съдържа имената, единния граждански номер (личен номер) и постоянен адрес (адрес на пребиваване) на избирателите, положили саморъчен подпис, в последователността, в която са вписани в списъка (Решение на ЦИК № 1994-МИ от 24.08.2023 г.).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Членът на инициативния комитет, пред когото избирателят е полож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 подписа си в списъка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Pr="00C76E2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точка </w:t>
      </w:r>
      <w:r w:rsidRPr="00C76E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22,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обработва и предоставя личните данни при спазване изискванията за защита на личните данни и носи отговорност по смисъла на чл. 4, т. 7 от Регламент (ЕС) 2016/679.</w:t>
      </w:r>
    </w:p>
    <w:p w:rsidR="004F3B79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Списъкът се предава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заедно с документите по точка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–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не по-късно от 32 дни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преди изборния ден – 26.09.2023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VІІ.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Условия за регистрация. Отказ за регистрация  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25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извършва проверка за изпълнението на посочените изисквания и взема решение за регистрацията на кандидатските листи.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регистрацията на всяка кандидатска листа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взема отделно решение.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26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извършва проверка на заявения от кандидата – гражданин на друга държава – членка на Европейския съюз, адрес на пребиваване чрез Министерството на вътрешните работи.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27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Проверката на обстоятелствата по чл. 397 се извършва от Министерството на вътрешните работи и Министерството на правосъдието по искане на Централната избирателна комисия.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28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При установяване на непълноти или несъответствия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дава незабавно указания и срок за отстраняването им.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29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случаите когато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откаже регистрация, отказът може да се обжалва пред ЦИК по реда на чл. 88 ИК.</w:t>
      </w:r>
    </w:p>
    <w:p w:rsid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на ОИК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потвърдено с решение на Централната избирателна комисия, подлежи на обжалване по реда на чл. 98, ал. 2 от Административнопроцесуалния кодекс пред административн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ия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град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останалите случаи решението на ЦИК се обжалва пред Върховния административен съд.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30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При отказ за регистрация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или при обявяване на недействителност на регистрацията на кандидат от листа на партия, коалиция или местна коалиция, партията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и коалицията може не по-късно от 30 дни преди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зборния ден – 28 септември 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г., да предложи за регистриране друг кандидат.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31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Когато някой от кандидатите в регистрирана кандидатска листа на партия, коалиция или местна коалиция се откаже, партията, коалицията или местната коалиция може да предложи за регистриране друг кандидат не по-късно от 30 дни преди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зборния ден – 28 септември 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32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Когато някой от кандидатите в регистрирана кандидатска листа на па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ртия,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коалиция или местна коалиция почине 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изпадне в трайна невъзможност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да участва в изборите, партията или коалицията може да предложи друг кандидат не по-късно от 7 дни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реди изборния ден - 21.10.2023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VІІІ.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Ред за преподреждане на кандидатската листа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В случаите по т. 30 и 31 новият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ат по предложение на партията, коалицията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 местната коалиция заема освободеното или последното място в кандидатската листа.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Листата не се преподрежда, когато кандидат в регистрирана кандидатска листа на партия или коалиция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 откаже след 28 септември 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 В този случай мястото на отказалия се кандидат остава незаето.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тказалия се кандидат се вписва “заличен”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ІХ.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Проверка на списъците. Служебно заличаване на регистрация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35.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Списъците по т. 22 в структуриран електронен вид и на хартиен носител се предават незабавно за проверка от общинската избирателна комисия на съответното терито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риално звено на Главна дирекция “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Гражданска регистраци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я и административно обслужване”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в Министерството на регионалното развитие и благоустройството. Проверката се извършва не по-късно от 27 дни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преди изборния ден – 01.10.2023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 и за резултатите от нея се съставя протокол в два екземпляра, единия от които се предоставя на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Данните от проверката се съхраняват в срок до 6 месеца от произвеждане на изборите.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36.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При поискване от инициативния комитет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му предоставя в писмен вид данните от протокола за установения резултат от представените списъци.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37.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Когато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установи, че независим кандидат не е подкрепен от необходимия брой избиратели, регистрацията му се заличава с решение, което незабавно се изпраща на инициативния комитет. Решението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-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може да се оспорва пред Централната избирателна комисия по реда на чл. 88.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38.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Общинската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осигурява възможност всеки избирател – български гражданин или гражданин на друга държава – членка на Европейския съюз, имащ статут на постоянно или продължително пребиваващ, да може да прави справка в списъка по единен граждански номер или личен номер, включително на безплатен телефонен номер.</w:t>
      </w: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Х.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Регистри и удостоверения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39.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води отделни входящи регистри на кандидатите: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-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за общински съветници – Приложение № 68-МИ;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-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за кмет на община – Приложение № 69-МИ;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-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 кмет на кметство (общ за всички кметства в общината) – Приложение № 70-МИ;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40.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Последователността на постъпване на документите на кандидатските листи определя поредността на вписване в регистъра на общинската избирателна комисия.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41.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изпраща незабавно на Централната избирателна комисия извлечение от регистъра за кандидати за общински съветници, които са граждани на друга държава – членка на Европейския съюз, но не са български граждани.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Общинск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комиси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въвежда данните за всички регистрирани кандидатски листи в системата cik.is-bg.net веднага след приемане на решението за регистрацията им.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случаите на извършени промени в кандидатските листи на партиите, коалициите и местните коалиции общинск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комиси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незабавно актуализират данните за извършените промени в системата cik.is-bg.net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Общинск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комиси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предоставя информацията за кандидатските листи от системата cik.is-bg.net на кмета на общината за отпечатване на листите, предназначени за поставяне върху информационните табла и в параваните.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удостоверение за регистрация на всеки кандидат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 кмет или за общински съветник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(Приложение № 67-МИ от изборните книжа).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45.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Общинска избирателна комисия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вписва всяко отделно решение за регистрация на кандидатска листа в Публичен регистър на кандидатите (Приложение № 71-МИ от изборните книжа). Регистърът се обявява на интернет страницата на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Медковец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ХІ.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Статут на кандидатите. Неприкосновеност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46.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Кандидатите имат качество на длъжностни лица по смисъла на Наказателния кодекс от регистрирането на кандидатските листи до обявяването на резултатите от изборите. В случай че регистрацията на кандидат е заличена, правата и задълженията му се прекратяват от деня на заличаването.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47.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деня на регистрацията до обявяване на резултатите от изборите регистрираните кандидати не може да бъдат задържани или привличани като обвиняеми, освен за извършено престъпление от общ характер и с разрешение на Централната избирателна комисия въз основа на мотивирано искане от главния прокурор.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48.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Разрешение за задържане не се иска при заварено тежко престъпление, като в този случай незабавно се уведомява Централната избирателна комисия.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ХІІ.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Отпуск на кандидатите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49. 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Действащ кмет или временно изпълняващ длъжността кмет, който е кандидат за кмет на община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 кметство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или за общински съветник, задължително ползва по свой избор неплатен служебен отпуск или платен годишен отпуск от деня, следващ деня на решението за регистрация, до обявяване на резултатите от изборите.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50.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Кандидат за кмет на община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 кметство, който заема служба в администрацията на държавен или местен орган в същата община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 кметство, задължително ползва по свой избор неплатен служебен отпуск или платен годишен отпуск от деня, следващ деня на решението за регистрация, до обявяване на резултатите от изборите.</w:t>
      </w:r>
    </w:p>
    <w:p w:rsidR="004F3B79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51.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За времето, в което кандидатът за кмет на община или кметство е в отпуск, за временно изпълняващ длъжността кмет се определя един от заместник-кметовете. 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Когато няма назначен заместник-кмет или всички заместник-кметове са кандидати в изборите, временно изпълняващ длъжността кмет на общината и района се избира от общинския съвет по реда на чл. 42, ал. 8 от </w:t>
      </w:r>
      <w:bookmarkStart w:id="1" w:name="_Hlk144305116"/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акона за местното самоуправление и местната администрация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bookmarkEnd w:id="1"/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52.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В случаите когато общинският съвет не е приел решение в определения срок, временно изпълняващ длъжността кмет на община/ кметство се назначава от областния управител по реда на чл. 42, ал. 10 от З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</w:rPr>
        <w:t>акона за местното самоуправление и местната администрация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53.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Кандидат за общински съветник, който заема държавна служба, задължително ползва отпуск за дните, през които в работно време участва в мероприятия на предизборната кампания.</w:t>
      </w:r>
    </w:p>
    <w:p w:rsidR="004F3B79" w:rsidRPr="009F3C37" w:rsidRDefault="004F3B79" w:rsidP="004F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54.</w:t>
      </w: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Отпускът се зачита за трудов или служебен и осигурителен стаж.</w:t>
      </w:r>
    </w:p>
    <w:p w:rsidR="004F3B79" w:rsidRPr="009F3C3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F3C3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55. В случай че регистрацията на кандидат бъде заличена, отпускът се прекъсва от деня на заличаването. Когато заличаването е отменено, се смята, че отпускът не е прекъсван.</w:t>
      </w: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Default="004F3B79" w:rsidP="004F3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Pr="009E1D23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4F3B79" w:rsidRPr="007771EA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97A19" w:rsidRPr="00E97A1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AB0301" w:rsidRDefault="00AB0301" w:rsidP="00AB0301">
      <w:pPr>
        <w:pStyle w:val="a4"/>
        <w:shd w:val="clear" w:color="auto" w:fill="FFFFFF"/>
        <w:spacing w:before="0" w:after="150"/>
        <w:rPr>
          <w:color w:val="333333"/>
        </w:rPr>
      </w:pPr>
    </w:p>
    <w:p w:rsidR="00AB0301" w:rsidRPr="008317DC" w:rsidRDefault="00AB0301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трета:</w:t>
      </w:r>
    </w:p>
    <w:p w:rsidR="004F3B79" w:rsidRPr="003A48DE" w:rsidRDefault="004F3B79" w:rsidP="004F3B79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bCs/>
          <w:lang w:val="en-US" w:eastAsia="en-US"/>
        </w:rPr>
      </w:pPr>
      <w: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F90318" w:rsidRDefault="00F90318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90318" w:rsidRDefault="00F90318" w:rsidP="00F90318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гласуване на предложението.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9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10"/>
        <w:gridCol w:w="1399"/>
      </w:tblGrid>
      <w:tr w:rsidR="00E97A19" w:rsidRPr="00E97A19" w:rsidTr="007F1CC5">
        <w:trPr>
          <w:trHeight w:val="286"/>
          <w:jc w:val="center"/>
        </w:trPr>
        <w:tc>
          <w:tcPr>
            <w:tcW w:w="530" w:type="dxa"/>
          </w:tcPr>
          <w:p w:rsidR="00E97A19" w:rsidRPr="00E97A19" w:rsidRDefault="00E97A19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E97A19" w:rsidRPr="00E97A19" w:rsidRDefault="00E97A19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9 членове</w:t>
      </w:r>
    </w:p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F90318" w:rsidRPr="00A02C87" w:rsidRDefault="00F90318" w:rsidP="00F90318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F90318" w:rsidRPr="00A02C87" w:rsidRDefault="00F90318" w:rsidP="00F90318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AB0301" w:rsidRPr="00AB0301" w:rsidRDefault="00AB0301" w:rsidP="00F5787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F3B79" w:rsidRDefault="004F3B79" w:rsidP="004F3B79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lastRenderedPageBreak/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23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14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4F3B79" w:rsidRPr="00AB0E88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7D50A9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4F3B79" w:rsidRPr="00232087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 ИК, чл. 414,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от Изборния конекс</w:t>
      </w:r>
      <w:r w:rsidRPr="007D5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2122-МИ от 29.08.2023г. на ЦИК</w:t>
      </w:r>
      <w:r w:rsidRPr="005156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 Общинска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избирателна комисия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Медковец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</w:p>
    <w:p w:rsidR="004F3B79" w:rsidRPr="003D18AD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4F3B79" w:rsidRPr="00741B53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И:</w:t>
      </w:r>
    </w:p>
    <w:p w:rsidR="004F3B79" w:rsidRPr="007D50A9" w:rsidRDefault="004F3B79" w:rsidP="004F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eastAsia="bg-BG"/>
        </w:rPr>
      </w:pPr>
    </w:p>
    <w:p w:rsidR="004F3B79" w:rsidRPr="007D50A9" w:rsidRDefault="004F3B79" w:rsidP="004F3B7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50A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 xml:space="preserve">Определя </w:t>
      </w:r>
      <w:r w:rsidRPr="00C76E21">
        <w:rPr>
          <w:rFonts w:ascii="Times New Roman" w:hAnsi="Times New Roman" w:cs="Times New Roman"/>
          <w:sz w:val="24"/>
          <w:szCs w:val="24"/>
          <w:lang w:val="en-US"/>
        </w:rPr>
        <w:t>09:00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часа на 19 септември 2023г. за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D50A9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начален срок за подаване на документи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в ОИК </w:t>
      </w:r>
      <w:r>
        <w:rPr>
          <w:rFonts w:ascii="Times New Roman" w:hAnsi="Times New Roman" w:cs="Times New Roman"/>
          <w:sz w:val="24"/>
          <w:szCs w:val="24"/>
        </w:rPr>
        <w:t>Медковец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4F3B79" w:rsidRPr="007D50A9" w:rsidRDefault="004F3B79" w:rsidP="004F3B7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50A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  <w:lang w:val="en-US"/>
        </w:rPr>
        <w:t>17:00 часа на 26 септември 2023г. за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D50A9">
        <w:rPr>
          <w:rFonts w:ascii="Times New Roman" w:hAnsi="Times New Roman" w:cs="Times New Roman"/>
          <w:b/>
          <w:bCs/>
          <w:sz w:val="24"/>
          <w:szCs w:val="24"/>
          <w:lang w:val="en-US"/>
        </w:rPr>
        <w:t>краен срок за подаване на документи</w:t>
      </w:r>
      <w:r>
        <w:rPr>
          <w:rFonts w:ascii="Times New Roman" w:hAnsi="Times New Roman" w:cs="Times New Roman"/>
          <w:sz w:val="24"/>
          <w:szCs w:val="24"/>
          <w:lang w:val="en-US"/>
        </w:rPr>
        <w:t> в ОИК-</w:t>
      </w:r>
      <w:r>
        <w:rPr>
          <w:rFonts w:ascii="Times New Roman" w:hAnsi="Times New Roman" w:cs="Times New Roman"/>
          <w:sz w:val="24"/>
          <w:szCs w:val="24"/>
        </w:rPr>
        <w:t>Медковец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sz w:val="24"/>
          <w:szCs w:val="24"/>
          <w:lang w:val="en-US"/>
        </w:rPr>
        <w:t>, както и за предаване в ОИК-</w:t>
      </w:r>
      <w:r>
        <w:rPr>
          <w:rFonts w:ascii="Times New Roman" w:hAnsi="Times New Roman" w:cs="Times New Roman"/>
          <w:sz w:val="24"/>
          <w:szCs w:val="24"/>
        </w:rPr>
        <w:t>Медковец</w:t>
      </w:r>
      <w:r w:rsidRPr="007D50A9">
        <w:rPr>
          <w:rFonts w:ascii="Times New Roman" w:hAnsi="Times New Roman" w:cs="Times New Roman"/>
          <w:sz w:val="24"/>
          <w:szCs w:val="24"/>
          <w:lang w:val="en-US"/>
        </w:rPr>
        <w:t xml:space="preserve"> на списък на лица, подкрепящи регистрацията на независим кандидат.</w:t>
      </w:r>
    </w:p>
    <w:p w:rsidR="004F3B79" w:rsidRPr="007D50A9" w:rsidRDefault="004F3B79" w:rsidP="004F3B79">
      <w:pPr>
        <w:spacing w:after="120" w:line="240" w:lineRule="auto"/>
        <w:ind w:right="-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50A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97A19" w:rsidRPr="00E97A1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F90318" w:rsidRDefault="00F90318" w:rsidP="00F90318">
      <w:pPr>
        <w:pStyle w:val="a4"/>
        <w:shd w:val="clear" w:color="auto" w:fill="FFFFFF"/>
        <w:spacing w:before="0" w:after="150"/>
        <w:jc w:val="both"/>
        <w:rPr>
          <w:color w:val="333333"/>
        </w:rPr>
      </w:pPr>
    </w:p>
    <w:p w:rsidR="00AB0301" w:rsidRPr="008317DC" w:rsidRDefault="00F90318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четвърта:</w:t>
      </w:r>
    </w:p>
    <w:p w:rsidR="00E774BC" w:rsidRDefault="004F3B79" w:rsidP="00E774BC">
      <w:pPr>
        <w:pStyle w:val="a4"/>
        <w:shd w:val="clear" w:color="auto" w:fill="FFFFFF"/>
        <w:spacing w:before="0" w:after="150"/>
        <w:jc w:val="both"/>
        <w:rPr>
          <w:bCs/>
          <w:color w:val="333333"/>
          <w:kern w:val="0"/>
          <w:lang w:val="en-US" w:eastAsia="en-US"/>
        </w:rPr>
      </w:pPr>
      <w:r w:rsidRPr="004F3B79">
        <w:rPr>
          <w:bCs/>
          <w:color w:val="333333"/>
          <w:kern w:val="0"/>
          <w:lang w:val="en-US" w:eastAsia="en-US"/>
        </w:rPr>
        <w:t>Определяне общия брой на членовете на СИК по чл. 9, ал. 4 и 9 от ИК в Община Медковец при произвеждане на изборите за общински съветници и за кметове, насрочени на 29 октомври 2023г.</w:t>
      </w:r>
    </w:p>
    <w:p w:rsidR="004F3B79" w:rsidRDefault="004F3B79" w:rsidP="00E774BC">
      <w:pPr>
        <w:pStyle w:val="a4"/>
        <w:shd w:val="clear" w:color="auto" w:fill="FFFFFF"/>
        <w:spacing w:before="0" w:after="150"/>
        <w:jc w:val="both"/>
        <w:rPr>
          <w:bCs/>
          <w:color w:val="333333"/>
          <w:kern w:val="0"/>
          <w:lang w:val="en-US" w:eastAsia="en-US"/>
        </w:rPr>
      </w:pPr>
    </w:p>
    <w:p w:rsidR="00E774BC" w:rsidRDefault="00E774BC" w:rsidP="004F3B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E97A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9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E97A19" w:rsidRPr="00E97A19" w:rsidRDefault="00E97A19" w:rsidP="00E97A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10"/>
        <w:gridCol w:w="1399"/>
      </w:tblGrid>
      <w:tr w:rsidR="00E97A19" w:rsidRPr="00E97A19" w:rsidTr="007F1CC5">
        <w:trPr>
          <w:trHeight w:val="286"/>
          <w:jc w:val="center"/>
        </w:trPr>
        <w:tc>
          <w:tcPr>
            <w:tcW w:w="530" w:type="dxa"/>
          </w:tcPr>
          <w:p w:rsidR="00E97A19" w:rsidRPr="00E97A19" w:rsidRDefault="00E97A19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E97A19" w:rsidRPr="00E97A19" w:rsidRDefault="00E97A19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A19" w:rsidRPr="00E97A19" w:rsidTr="007F1CC5">
        <w:trPr>
          <w:jc w:val="center"/>
        </w:trPr>
        <w:tc>
          <w:tcPr>
            <w:tcW w:w="530" w:type="dxa"/>
          </w:tcPr>
          <w:p w:rsidR="00E97A19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E97A19" w:rsidRPr="00E97A19" w:rsidRDefault="00E97A19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E97A19" w:rsidRPr="00E97A19" w:rsidRDefault="00E97A19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9 членове</w:t>
      </w:r>
    </w:p>
    <w:p w:rsidR="00E97A19" w:rsidRDefault="00E97A19" w:rsidP="00E97A19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E774BC" w:rsidRPr="00A02C87" w:rsidRDefault="00E774BC" w:rsidP="00E774B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774BC" w:rsidRPr="00A02C87" w:rsidRDefault="00E774BC" w:rsidP="00E774B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774BC" w:rsidRDefault="00E774BC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4F3B79" w:rsidRPr="004F3B79" w:rsidRDefault="004F3B79" w:rsidP="004F3B7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-МИ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14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</w:rPr>
        <w:t>23г.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4F3B79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 общия брой на членовете на СИК по чл. 9, ал. 4 и 9 от ИК в Община Медковец при произвеждане на изборите за общински съветници и за кметове, насрочени на 29 октомври 2023г.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 87, ал. 1, т. 5, чл. 89, чл. 90,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чл.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92, чл. 95, чл. 96, чл. 3, ал. 3 и § 1, т. 10 от Допълнителните разпоредби на Изборния кодекс и Решение №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2378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 на Централната избирателна комисия,</w:t>
      </w:r>
      <w:r w:rsidRPr="004F3B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Общинска избирателна комисия Медковец,</w:t>
      </w:r>
    </w:p>
    <w:p w:rsidR="004F3B79" w:rsidRPr="004F3B79" w:rsidRDefault="004F3B79" w:rsidP="004F3B7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en-US"/>
        </w:rPr>
      </w:pPr>
    </w:p>
    <w:p w:rsidR="004F3B79" w:rsidRPr="004F3B79" w:rsidRDefault="004F3B79" w:rsidP="004F3B7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F3B79">
        <w:rPr>
          <w:rFonts w:ascii="Times New Roman" w:eastAsia="Calibri" w:hAnsi="Times New Roman" w:cs="Times New Roman"/>
          <w:b/>
          <w:sz w:val="26"/>
          <w:szCs w:val="26"/>
          <w:lang w:val="en-US"/>
        </w:rPr>
        <w:t>Р Е Ш И: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Секционните избирателни комисии се състоят от председател, заместник-председател, секретар и членове.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Броят на членовете на СИК, в това число председател, заместник-председател и секретар, е: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4F3B79" w:rsidRPr="004F3B79" w:rsidRDefault="004F3B79" w:rsidP="004F3B7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 членове – за секции с до 500 избиратели;</w:t>
      </w:r>
    </w:p>
    <w:p w:rsidR="004F3B79" w:rsidRPr="004F3B79" w:rsidRDefault="004F3B79" w:rsidP="004F3B7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1134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 членове – за секции с над 500 избиратели;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4F3B79" w:rsidRPr="004F3B79" w:rsidRDefault="004F3B79" w:rsidP="004F3B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остатък.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Всяка парламентарно представена партия или коалиция има право на не по-малко от един член за всяка СИК.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Представителите на една партия или коалиция не могат да имат мнозинство в СИК.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4F3B7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Председателят, заместник-председателят и секретарят не могат да бъдат от една и съща партия или коалиция.</w:t>
      </w:r>
    </w:p>
    <w:p w:rsidR="004F3B79" w:rsidRP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tbl>
      <w:tblPr>
        <w:tblW w:w="7426" w:type="dxa"/>
        <w:tblLook w:val="04A0" w:firstRow="1" w:lastRow="0" w:firstColumn="1" w:lastColumn="0" w:noHBand="0" w:noVBand="1"/>
      </w:tblPr>
      <w:tblGrid>
        <w:gridCol w:w="1709"/>
        <w:gridCol w:w="1206"/>
        <w:gridCol w:w="1401"/>
        <w:gridCol w:w="3862"/>
      </w:tblGrid>
      <w:tr w:rsidR="004F3B79" w:rsidRPr="004F3B79" w:rsidTr="004F3B79">
        <w:trPr>
          <w:trHeight w:val="313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Населено място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Секция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Избиратели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Бр</w:t>
            </w:r>
            <w:r w:rsidRPr="004F3B79">
              <w:rPr>
                <w:rFonts w:ascii="Times New Roman" w:eastAsia="Times New Roman" w:hAnsi="Times New Roman" w:cs="Times New Roman"/>
                <w:b/>
                <w:color w:val="000000"/>
              </w:rPr>
              <w:t>ой</w:t>
            </w:r>
            <w:r w:rsidRPr="004F3B7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членове на СИК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Сливовик</w:t>
            </w: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Пишурка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7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Медковец</w:t>
            </w: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9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Медковец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9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Аспарухово</w:t>
            </w: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7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Расово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7</w:t>
            </w:r>
          </w:p>
        </w:tc>
      </w:tr>
      <w:tr w:rsidR="004F3B79" w:rsidRPr="004F3B79" w:rsidTr="004F3B79">
        <w:trPr>
          <w:trHeight w:val="313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</w:rPr>
              <w:t>Расово</w:t>
            </w: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122600007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79" w:rsidRPr="004F3B79" w:rsidRDefault="004F3B79" w:rsidP="004F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3B7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7</w:t>
            </w:r>
          </w:p>
        </w:tc>
      </w:tr>
    </w:tbl>
    <w:p w:rsidR="004F3B79" w:rsidRPr="004F3B79" w:rsidRDefault="004F3B79" w:rsidP="004F3B79">
      <w:pPr>
        <w:spacing w:after="120" w:line="240" w:lineRule="auto"/>
        <w:jc w:val="both"/>
        <w:rPr>
          <w:rFonts w:ascii="Times New Roman" w:eastAsia="Calibri" w:hAnsi="Times New Roman" w:cs="Times New Roman"/>
          <w:sz w:val="10"/>
          <w:szCs w:val="10"/>
          <w:lang w:val="en-US"/>
        </w:rPr>
      </w:pPr>
    </w:p>
    <w:p w:rsidR="004F3B79" w:rsidRPr="004F3B7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sz w:val="24"/>
          <w:szCs w:val="24"/>
        </w:rPr>
        <w:t>Общият брой на избирателите, съгласно горепосочените данни, е 53.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Ръководният състав на секционните избирателни комисии за община Медковец за </w:t>
      </w:r>
      <w:r w:rsidRPr="004F3B79">
        <w:rPr>
          <w:rFonts w:ascii="Times New Roman" w:eastAsia="Times New Roman" w:hAnsi="Times New Roman" w:cs="Times New Roman"/>
          <w:bCs/>
          <w:sz w:val="24"/>
          <w:szCs w:val="24"/>
        </w:rPr>
        <w:t>произвеждане на изборите за общински съветници и за кметове, насрочени на 29 октомври 2023г.</w:t>
      </w:r>
      <w:r w:rsidRPr="004F3B79">
        <w:rPr>
          <w:rFonts w:ascii="Times New Roman" w:eastAsia="Times New Roman" w:hAnsi="Times New Roman" w:cs="Times New Roman"/>
          <w:sz w:val="24"/>
          <w:szCs w:val="24"/>
        </w:rPr>
        <w:t xml:space="preserve"> се състои от 21 броя членове.</w:t>
      </w:r>
    </w:p>
    <w:p w:rsidR="004F3B79" w:rsidRPr="004F3B7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4F3B79" w:rsidRDefault="004F3B79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B79">
        <w:rPr>
          <w:rFonts w:ascii="Times New Roman" w:eastAsia="Times New Roman" w:hAnsi="Times New Roman" w:cs="Times New Roman"/>
          <w:sz w:val="24"/>
          <w:szCs w:val="24"/>
        </w:rPr>
        <w:t xml:space="preserve">            Заверено копие от настоящото решение своевременно да се предостави на кмета на община Медковец за предприемане на действия по компетентност.</w:t>
      </w:r>
    </w:p>
    <w:p w:rsidR="005104B3" w:rsidRPr="004F3B79" w:rsidRDefault="005104B3" w:rsidP="004F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B79" w:rsidRPr="004F3B79" w:rsidRDefault="004F3B79" w:rsidP="004F3B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97A19" w:rsidRPr="005104B3" w:rsidRDefault="004F3B79" w:rsidP="005104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3B79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</w:t>
      </w:r>
      <w:r w:rsidR="005104B3">
        <w:rPr>
          <w:rFonts w:ascii="Times New Roman" w:eastAsia="Times New Roman" w:hAnsi="Times New Roman" w:cs="Times New Roman"/>
          <w:sz w:val="24"/>
          <w:szCs w:val="24"/>
          <w:lang w:val="en-US"/>
        </w:rPr>
        <w:t>ентралната избирателна комисия.</w:t>
      </w:r>
    </w:p>
    <w:p w:rsidR="00D815E6" w:rsidRDefault="00D815E6" w:rsidP="00F57875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пета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5104B3" w:rsidRPr="003A48DE" w:rsidRDefault="005104B3" w:rsidP="005104B3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 w:rsidRPr="00DF5F5A">
        <w:rPr>
          <w:bCs/>
          <w:lang w:eastAsia="en-US"/>
        </w:rPr>
        <w:t xml:space="preserve">Разпределение на местата в СИК и техните ръководства 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кметове на 29 октомври 2023 г.</w:t>
      </w:r>
    </w:p>
    <w:p w:rsidR="00E774BC" w:rsidRDefault="00E774BC" w:rsidP="007F1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мисията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премина към гласуване на предложението.</w:t>
      </w:r>
    </w:p>
    <w:p w:rsidR="007F1CC5" w:rsidRPr="00E97A19" w:rsidRDefault="007F1CC5" w:rsidP="007F1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9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7F1CC5" w:rsidRPr="00E97A19" w:rsidRDefault="007F1CC5" w:rsidP="007F1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10"/>
        <w:gridCol w:w="1399"/>
      </w:tblGrid>
      <w:tr w:rsidR="007F1CC5" w:rsidRPr="00E97A19" w:rsidTr="007F1CC5">
        <w:trPr>
          <w:trHeight w:val="286"/>
          <w:jc w:val="center"/>
        </w:trPr>
        <w:tc>
          <w:tcPr>
            <w:tcW w:w="530" w:type="dxa"/>
          </w:tcPr>
          <w:p w:rsidR="007F1CC5" w:rsidRPr="00E97A19" w:rsidRDefault="007F1CC5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7F1CC5" w:rsidRPr="00E97A19" w:rsidRDefault="007F1CC5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9 членове</w:t>
      </w:r>
    </w:p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E774BC" w:rsidRPr="00A02C87" w:rsidRDefault="00E774BC" w:rsidP="00E774B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774BC" w:rsidRPr="00A02C87" w:rsidRDefault="00E774BC" w:rsidP="00E774B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774BC" w:rsidRDefault="00E774BC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5104B3" w:rsidRPr="005104B3" w:rsidRDefault="005104B3" w:rsidP="005104B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-МИ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14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</w:rPr>
        <w:t>23г.</w:t>
      </w:r>
    </w:p>
    <w:p w:rsidR="005104B3" w:rsidRPr="005104B3" w:rsidRDefault="005104B3" w:rsidP="0051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5104B3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Разпределение на местата в СИК и техните ръководства в община Медковец при произвеждане на изборите за общински съветници и кметове на 29 октомври 2023г.</w:t>
      </w:r>
    </w:p>
    <w:p w:rsidR="005104B3" w:rsidRPr="005104B3" w:rsidRDefault="005104B3" w:rsidP="0051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104B3" w:rsidRPr="005104B3" w:rsidRDefault="005104B3" w:rsidP="0051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 1 от Изборния кодекс и Решение № 2378 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 </w:t>
      </w:r>
      <w:r w:rsidRPr="005104B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 избирателна комисия,</w:t>
      </w:r>
      <w:r w:rsidRPr="00510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 Общинска избирателна комисия Медковец,</w:t>
      </w:r>
    </w:p>
    <w:p w:rsidR="005104B3" w:rsidRPr="005104B3" w:rsidRDefault="005104B3" w:rsidP="005104B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5104B3" w:rsidRPr="005104B3" w:rsidRDefault="005104B3" w:rsidP="005104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104B3">
        <w:rPr>
          <w:rFonts w:ascii="Times New Roman" w:eastAsia="Calibri" w:hAnsi="Times New Roman" w:cs="Times New Roman"/>
          <w:b/>
          <w:sz w:val="26"/>
          <w:szCs w:val="26"/>
          <w:lang w:val="en-US"/>
        </w:rPr>
        <w:t>Р Е Ш И:</w:t>
      </w:r>
    </w:p>
    <w:p w:rsidR="005104B3" w:rsidRPr="005104B3" w:rsidRDefault="005104B3" w:rsidP="005104B3">
      <w:pPr>
        <w:spacing w:after="0" w:line="240" w:lineRule="auto"/>
        <w:ind w:left="-567" w:right="-80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104B3" w:rsidRPr="005104B3" w:rsidRDefault="005104B3" w:rsidP="00510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4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Разпределя на местата в СИК и техните ръководства в община </w:t>
      </w:r>
      <w:r w:rsidRPr="00510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Медковец</w:t>
      </w:r>
      <w:r w:rsidRPr="005104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5104B3" w:rsidRPr="005104B3" w:rsidRDefault="005104B3" w:rsidP="00510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89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34"/>
        <w:gridCol w:w="5528"/>
      </w:tblGrid>
      <w:tr w:rsidR="005104B3" w:rsidRPr="005104B3" w:rsidTr="00320A66">
        <w:trPr>
          <w:trHeight w:val="912"/>
        </w:trPr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Парламентарно представени партии и коалиции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Брой членове на</w:t>
            </w:r>
          </w:p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СИК</w:t>
            </w:r>
          </w:p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Ръководство</w:t>
            </w:r>
          </w:p>
        </w:tc>
      </w:tr>
      <w:tr w:rsidR="005104B3" w:rsidRPr="005104B3" w:rsidTr="00320A66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ГЕРБ - СДС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104B3" w:rsidRPr="005104B3" w:rsidTr="00320A66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- ДБ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104B3" w:rsidRPr="005104B3" w:rsidTr="00320A66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Възраждане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4B3" w:rsidRPr="005104B3" w:rsidTr="00320A66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ДПС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4B3" w:rsidRPr="005104B3" w:rsidTr="00320A66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4B3" w:rsidRPr="005104B3" w:rsidTr="00320A66">
        <w:trPr>
          <w:trHeight w:val="404"/>
        </w:trPr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sz w:val="24"/>
                <w:szCs w:val="24"/>
              </w:rPr>
              <w:t>ИТН</w:t>
            </w:r>
          </w:p>
          <w:p w:rsidR="005104B3" w:rsidRPr="005104B3" w:rsidRDefault="005104B3" w:rsidP="005104B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04B3" w:rsidRPr="005104B3" w:rsidRDefault="005104B3" w:rsidP="005104B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104B3" w:rsidRPr="005104B3" w:rsidRDefault="005104B3" w:rsidP="005104B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4B3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104B3" w:rsidRPr="005104B3" w:rsidRDefault="005104B3" w:rsidP="00510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4B3">
        <w:rPr>
          <w:rFonts w:ascii="Times New Roman" w:eastAsia="Times New Roman" w:hAnsi="Times New Roman" w:cs="Times New Roman"/>
          <w:sz w:val="24"/>
          <w:szCs w:val="24"/>
        </w:rPr>
        <w:t>Заверено копие от настоящото решение своевременно да се предостави на кмета на община Медковец за предприемане на действия по компетентност.</w:t>
      </w:r>
    </w:p>
    <w:p w:rsidR="005104B3" w:rsidRPr="005104B3" w:rsidRDefault="005104B3" w:rsidP="0051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04B3" w:rsidRPr="005104B3" w:rsidRDefault="005104B3" w:rsidP="00510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04B3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E774BC" w:rsidRDefault="00E774BC" w:rsidP="00F57875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шеста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5104B3" w:rsidRDefault="005104B3" w:rsidP="005104B3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lang w:val="en-US"/>
        </w:rPr>
      </w:pPr>
      <w:r>
        <w:t>Разискване на нововъзникнали въпроси и обстоятелства и приемане на други решения, в случай на обективни предпоставки за което</w:t>
      </w:r>
      <w:r>
        <w:rPr>
          <w:lang w:val="en-US"/>
        </w:rPr>
        <w:t>.</w:t>
      </w:r>
    </w:p>
    <w:p w:rsidR="006100B6" w:rsidRPr="006100B6" w:rsidRDefault="006100B6" w:rsidP="005104B3">
      <w:pPr>
        <w:pStyle w:val="a4"/>
        <w:suppressAutoHyphens w:val="0"/>
        <w:autoSpaceDN/>
        <w:spacing w:beforeAutospacing="1" w:afterAutospacing="1"/>
        <w:jc w:val="both"/>
        <w:textAlignment w:val="auto"/>
        <w:rPr>
          <w:bCs/>
          <w:lang w:eastAsia="en-US"/>
        </w:rPr>
      </w:pPr>
      <w:r>
        <w:rPr>
          <w:bCs/>
          <w:lang w:eastAsia="en-US"/>
        </w:rPr>
        <w:t>Заместник- председателят Емилия Петрова предложи да се избере член от комисията, който да отговаря за банковите сметки при евентуална регистрация на местни коалиции за участие в изборите за общински съветници и за кметове, като г</w:t>
      </w:r>
      <w:r w:rsidR="005135DB">
        <w:rPr>
          <w:bCs/>
          <w:lang w:eastAsia="en-US"/>
        </w:rPr>
        <w:t>и предостави на Сметната палата. Тя направи предложение това да бъде Валя Кирилова- член на ОИК- Медковец.</w:t>
      </w:r>
    </w:p>
    <w:p w:rsidR="0093065C" w:rsidRDefault="0093065C" w:rsidP="0093065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7F1CC5" w:rsidRPr="00E97A19" w:rsidRDefault="007F1CC5" w:rsidP="007F1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9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7F1CC5" w:rsidRPr="00E97A19" w:rsidRDefault="007F1CC5" w:rsidP="007F1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10"/>
        <w:gridCol w:w="1399"/>
      </w:tblGrid>
      <w:tr w:rsidR="007F1CC5" w:rsidRPr="00E97A19" w:rsidTr="007F1CC5">
        <w:trPr>
          <w:trHeight w:val="286"/>
          <w:jc w:val="center"/>
        </w:trPr>
        <w:tc>
          <w:tcPr>
            <w:tcW w:w="530" w:type="dxa"/>
          </w:tcPr>
          <w:p w:rsidR="007F1CC5" w:rsidRPr="00E97A19" w:rsidRDefault="007F1CC5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7F1CC5" w:rsidRPr="00E97A19" w:rsidRDefault="007F1CC5" w:rsidP="007F1CC5">
            <w:pPr>
              <w:pStyle w:val="a3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E97A19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C5" w:rsidRPr="00E97A19" w:rsidTr="007F1CC5">
        <w:trPr>
          <w:jc w:val="center"/>
        </w:trPr>
        <w:tc>
          <w:tcPr>
            <w:tcW w:w="530" w:type="dxa"/>
          </w:tcPr>
          <w:p w:rsidR="007F1CC5" w:rsidRPr="00AC5D3C" w:rsidRDefault="00AC5D3C" w:rsidP="007F1CC5">
            <w:pPr>
              <w:pStyle w:val="a3"/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19"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7F1CC5" w:rsidRPr="00E97A19" w:rsidRDefault="007F1CC5" w:rsidP="00D7143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7F1CC5" w:rsidRPr="00E97A19" w:rsidRDefault="007F1CC5" w:rsidP="007F1CC5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9 членове</w:t>
      </w:r>
    </w:p>
    <w:p w:rsidR="007F1CC5" w:rsidRDefault="007F1CC5" w:rsidP="007F1CC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93065C" w:rsidRPr="00A02C87" w:rsidRDefault="0093065C" w:rsidP="0093065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AB0301" w:rsidRDefault="0093065C" w:rsidP="006100B6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6100B6" w:rsidRDefault="006100B6" w:rsidP="006100B6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6100B6" w:rsidRPr="006100B6" w:rsidRDefault="006100B6" w:rsidP="006100B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ред, заседанието бе закрито.</w:t>
      </w:r>
    </w:p>
    <w:p w:rsidR="006100B6" w:rsidRPr="006100B6" w:rsidRDefault="006100B6" w:rsidP="006100B6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B0301" w:rsidRDefault="00AB0301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762">
        <w:rPr>
          <w:rFonts w:ascii="Times New Roman" w:hAnsi="Times New Roman" w:cs="Times New Roman"/>
          <w:b/>
          <w:i/>
          <w:sz w:val="24"/>
          <w:szCs w:val="24"/>
        </w:rPr>
        <w:t>Гласували решенията:</w:t>
      </w:r>
    </w:p>
    <w:p w:rsidR="00AB0301" w:rsidRDefault="00AB030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383"/>
        <w:gridCol w:w="1515"/>
      </w:tblGrid>
      <w:tr w:rsidR="00D815E6" w:rsidRPr="006A0996" w:rsidTr="00D815E6">
        <w:trPr>
          <w:trHeight w:val="286"/>
          <w:jc w:val="center"/>
        </w:trPr>
        <w:tc>
          <w:tcPr>
            <w:tcW w:w="818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Подпис</w:t>
            </w: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AC5D3C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AC5D3C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AC5D3C" w:rsidRDefault="00AC5D3C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AB0301" w:rsidRDefault="00AB030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15E6" w:rsidRDefault="00D815E6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Протоколчик:</w:t>
      </w:r>
    </w:p>
    <w:p w:rsidR="00101411" w:rsidRP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/Валя Станкова/</w:t>
      </w:r>
    </w:p>
    <w:p w:rsidR="00261AA2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Председател:</w:t>
      </w:r>
    </w:p>
    <w:p w:rsidR="00101411" w:rsidRDefault="00101411" w:rsidP="008A59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/Полин Гълъбова/</w:t>
      </w:r>
    </w:p>
    <w:p w:rsidR="00101411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Секретар:</w:t>
      </w:r>
    </w:p>
    <w:p w:rsidR="00D85995" w:rsidRPr="00353AA4" w:rsidRDefault="00101411" w:rsidP="0061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/Петя Кръстева/</w:t>
      </w:r>
    </w:p>
    <w:sectPr w:rsidR="00D85995" w:rsidRPr="00353AA4" w:rsidSect="00101411">
      <w:headerReference w:type="default" r:id="rId8"/>
      <w:footerReference w:type="default" r:id="rId9"/>
      <w:pgSz w:w="11906" w:h="16838" w:code="9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7B" w:rsidRDefault="008F787B" w:rsidP="003F1160">
      <w:pPr>
        <w:spacing w:after="0" w:line="240" w:lineRule="auto"/>
      </w:pPr>
      <w:r>
        <w:separator/>
      </w:r>
    </w:p>
  </w:endnote>
  <w:endnote w:type="continuationSeparator" w:id="0">
    <w:p w:rsidR="008F787B" w:rsidRDefault="008F787B" w:rsidP="003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93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00B6" w:rsidRDefault="006100B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5D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100B6" w:rsidRDefault="006100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7B" w:rsidRDefault="008F787B" w:rsidP="003F1160">
      <w:pPr>
        <w:spacing w:after="0" w:line="240" w:lineRule="auto"/>
      </w:pPr>
      <w:r>
        <w:separator/>
      </w:r>
    </w:p>
  </w:footnote>
  <w:footnote w:type="continuationSeparator" w:id="0">
    <w:p w:rsidR="008F787B" w:rsidRDefault="008F787B" w:rsidP="003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B6" w:rsidRPr="00F57875" w:rsidRDefault="006100B6" w:rsidP="003F1160">
    <w:pPr>
      <w:pStyle w:val="a3"/>
      <w:jc w:val="center"/>
      <w:rPr>
        <w:b/>
      </w:rPr>
    </w:pPr>
    <w:r w:rsidRPr="00F57875">
      <w:rPr>
        <w:rFonts w:ascii="Times New Roman" w:hAnsi="Times New Roman" w:cs="Times New Roman"/>
        <w:b/>
        <w:sz w:val="28"/>
        <w:szCs w:val="28"/>
        <w:u w:val="single"/>
      </w:rPr>
      <w:t>ОБЩИНСКА ИЗБИРАТЕЛНА КОМИСИЯ В ОБЩИНА МЕДКОВЕЦ</w:t>
    </w:r>
  </w:p>
  <w:p w:rsidR="006100B6" w:rsidRPr="00101411" w:rsidRDefault="006100B6" w:rsidP="003F1160">
    <w:pPr>
      <w:pStyle w:val="Standard"/>
      <w:tabs>
        <w:tab w:val="center" w:pos="4536"/>
        <w:tab w:val="right" w:pos="9072"/>
      </w:tabs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</w:rPr>
      <w:t>ул. „Георги Димитров” №26; телефон: 0882612999</w:t>
    </w:r>
    <w:r>
      <w:rPr>
        <w:rFonts w:ascii="Times New Roman" w:hAnsi="Times New Roman"/>
        <w:sz w:val="28"/>
        <w:szCs w:val="28"/>
        <w:lang w:val="en-US"/>
      </w:rPr>
      <w:t>;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lang w:val="en-US"/>
      </w:rPr>
      <w:t>email: oik1226@cik.bg</w:t>
    </w:r>
  </w:p>
  <w:p w:rsidR="006100B6" w:rsidRDefault="006100B6">
    <w:pPr>
      <w:pStyle w:val="aa"/>
    </w:pPr>
  </w:p>
  <w:p w:rsidR="006100B6" w:rsidRDefault="006100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C471A"/>
    <w:multiLevelType w:val="hybridMultilevel"/>
    <w:tmpl w:val="C58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860BC"/>
    <w:multiLevelType w:val="hybridMultilevel"/>
    <w:tmpl w:val="C128BA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43F3"/>
    <w:multiLevelType w:val="multilevel"/>
    <w:tmpl w:val="75A8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90013"/>
    <w:multiLevelType w:val="multilevel"/>
    <w:tmpl w:val="356A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776A1"/>
    <w:multiLevelType w:val="multilevel"/>
    <w:tmpl w:val="0FB0124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  <w:b/>
      </w:r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8185A02"/>
    <w:multiLevelType w:val="multilevel"/>
    <w:tmpl w:val="BABC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A733D6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03548"/>
    <w:multiLevelType w:val="multilevel"/>
    <w:tmpl w:val="756668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21"/>
  </w:num>
  <w:num w:numId="6">
    <w:abstractNumId w:val="19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22"/>
  </w:num>
  <w:num w:numId="12">
    <w:abstractNumId w:val="18"/>
  </w:num>
  <w:num w:numId="13">
    <w:abstractNumId w:val="14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6"/>
  </w:num>
  <w:num w:numId="19">
    <w:abstractNumId w:val="16"/>
  </w:num>
  <w:num w:numId="20">
    <w:abstractNumId w:val="20"/>
  </w:num>
  <w:num w:numId="21">
    <w:abstractNumId w:val="17"/>
  </w:num>
  <w:num w:numId="22">
    <w:abstractNumId w:val="13"/>
  </w:num>
  <w:num w:numId="23">
    <w:abstractNumId w:val="23"/>
  </w:num>
  <w:num w:numId="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5"/>
    <w:rsid w:val="00052C30"/>
    <w:rsid w:val="000A04D7"/>
    <w:rsid w:val="000E0047"/>
    <w:rsid w:val="00101411"/>
    <w:rsid w:val="00187A50"/>
    <w:rsid w:val="001E5BA9"/>
    <w:rsid w:val="00261AA2"/>
    <w:rsid w:val="002D314D"/>
    <w:rsid w:val="002D3780"/>
    <w:rsid w:val="00320A66"/>
    <w:rsid w:val="00353AA4"/>
    <w:rsid w:val="003C4195"/>
    <w:rsid w:val="003D797F"/>
    <w:rsid w:val="003F1160"/>
    <w:rsid w:val="00413235"/>
    <w:rsid w:val="00473B9F"/>
    <w:rsid w:val="004F3B79"/>
    <w:rsid w:val="005104B3"/>
    <w:rsid w:val="005135DB"/>
    <w:rsid w:val="006100B6"/>
    <w:rsid w:val="00613C48"/>
    <w:rsid w:val="006206C4"/>
    <w:rsid w:val="00625E68"/>
    <w:rsid w:val="00656EC1"/>
    <w:rsid w:val="006A0996"/>
    <w:rsid w:val="006C208F"/>
    <w:rsid w:val="00777730"/>
    <w:rsid w:val="007A072F"/>
    <w:rsid w:val="007C4B52"/>
    <w:rsid w:val="007E1DEF"/>
    <w:rsid w:val="007F1CC5"/>
    <w:rsid w:val="008317DC"/>
    <w:rsid w:val="008642E8"/>
    <w:rsid w:val="008A5951"/>
    <w:rsid w:val="008F02EE"/>
    <w:rsid w:val="008F787B"/>
    <w:rsid w:val="0093065C"/>
    <w:rsid w:val="009F76EA"/>
    <w:rsid w:val="00A41AB8"/>
    <w:rsid w:val="00AB0301"/>
    <w:rsid w:val="00AC5D3C"/>
    <w:rsid w:val="00BD1CB0"/>
    <w:rsid w:val="00BE61B3"/>
    <w:rsid w:val="00C30386"/>
    <w:rsid w:val="00C84A89"/>
    <w:rsid w:val="00CA0953"/>
    <w:rsid w:val="00CB7F22"/>
    <w:rsid w:val="00D7143D"/>
    <w:rsid w:val="00D815E6"/>
    <w:rsid w:val="00D85995"/>
    <w:rsid w:val="00D90E34"/>
    <w:rsid w:val="00DE5004"/>
    <w:rsid w:val="00E25441"/>
    <w:rsid w:val="00E56F8F"/>
    <w:rsid w:val="00E774BC"/>
    <w:rsid w:val="00E85072"/>
    <w:rsid w:val="00E97A19"/>
    <w:rsid w:val="00ED3F8C"/>
    <w:rsid w:val="00EF4DB1"/>
    <w:rsid w:val="00F57875"/>
    <w:rsid w:val="00F9002B"/>
    <w:rsid w:val="00F90318"/>
    <w:rsid w:val="00F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7566"/>
  <w15:docId w15:val="{6D8D0DEB-F508-43FE-A4D9-FF72EF7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26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B0301"/>
    <w:rPr>
      <w:b/>
      <w:bCs/>
    </w:rPr>
  </w:style>
  <w:style w:type="paragraph" w:styleId="a7">
    <w:name w:val="List Paragraph"/>
    <w:basedOn w:val="a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F1160"/>
  </w:style>
  <w:style w:type="paragraph" w:styleId="ac">
    <w:name w:val="footer"/>
    <w:basedOn w:val="a"/>
    <w:link w:val="ad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1DC4-51BA-42B3-822A-9034F9B0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8</cp:revision>
  <cp:lastPrinted>2023-09-15T12:20:00Z</cp:lastPrinted>
  <dcterms:created xsi:type="dcterms:W3CDTF">2023-09-15T10:04:00Z</dcterms:created>
  <dcterms:modified xsi:type="dcterms:W3CDTF">2023-09-15T12:21:00Z</dcterms:modified>
</cp:coreProperties>
</file>